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259" w:lineRule="auto"/>
        <w:jc w:val="center"/>
      </w:pPr>
      <w:r>
        <w:drawing>
          <wp:inline xmlns:a="http://schemas.openxmlformats.org/drawingml/2006/main" xmlns:pic="http://schemas.openxmlformats.org/drawingml/2006/picture">
            <wp:extent cx="960120" cy="960120"/>
            <wp:docPr id="1" name="Picture 1"/>
            <wp:cNvGraphicFramePr>
              <a:graphicFrameLocks noChangeAspect="1"/>
            </wp:cNvGraphicFramePr>
            <a:graphic>
              <a:graphicData uri="http://schemas.openxmlformats.org/drawingml/2006/picture">
                <pic:pic>
                  <pic:nvPicPr>
                    <pic:cNvPr id="0" name="logo.jpeg"/>
                    <pic:cNvPicPr/>
                  </pic:nvPicPr>
                  <pic:blipFill>
                    <a:blip r:embed="rId9"/>
                    <a:stretch>
                      <a:fillRect/>
                    </a:stretch>
                  </pic:blipFill>
                  <pic:spPr>
                    <a:xfrm>
                      <a:off x="0" y="0"/>
                      <a:ext cx="960120" cy="960120"/>
                    </a:xfrm>
                    <a:prstGeom prst="rect"/>
                  </pic:spPr>
                </pic:pic>
              </a:graphicData>
            </a:graphic>
          </wp:inline>
        </w:drawing>
      </w:r>
    </w:p>
    <w:p>
      <w:pPr>
        <w:pStyle w:val="Title"/>
        <w:jc w:val="center"/>
      </w:pPr>
      <w:r>
        <w:rPr>
          <w:rFonts w:ascii="Bitstream Charter" w:hAnsi="Bitstream Charter"/>
          <w:b w:val="0"/>
          <w:i w:val="0"/>
          <w:color w:val="000000"/>
          <w:sz w:val="56"/>
        </w:rPr>
        <w:t>Kursbok träning efter förlossning</w:t>
      </w:r>
    </w:p>
    <w:p>
      <w:pPr>
        <w:spacing w:before="0" w:after="440" w:line="259" w:lineRule="auto"/>
        <w:jc w:val="center"/>
      </w:pPr>
      <w:r>
        <w:rPr>
          <w:rFonts w:ascii="URW Gothic" w:hAnsi="URW Gothic"/>
          <w:b w:val="0"/>
          <w:i/>
          <w:color w:val="55614E"/>
          <w:sz w:val="25"/>
        </w:rPr>
        <w:t>Kursram, progression och kunskap för sex veckor</w:t>
      </w:r>
    </w:p>
    <w:p>
      <w:pPr>
        <w:spacing w:before="100" w:after="40" w:line="252" w:lineRule="auto"/>
        <w:jc w:val="center"/>
      </w:pPr>
      <w:r>
        <w:rPr>
          <w:rFonts w:ascii="URW Gothic" w:hAnsi="URW Gothic"/>
          <w:b/>
          <w:i w:val="0"/>
          <w:color w:val="C68E9A"/>
          <w:sz w:val="17"/>
        </w:rPr>
        <w:t>VARJE VECKA</w:t>
      </w:r>
    </w:p>
    <w:p>
      <w:pPr>
        <w:spacing w:before="0" w:after="200" w:line="259" w:lineRule="auto"/>
        <w:jc w:val="center"/>
      </w:pPr>
      <w:r>
        <w:rPr>
          <w:rFonts w:ascii="Bitstream Charter" w:hAnsi="Bitstream Charter"/>
          <w:b w:val="0"/>
          <w:i w:val="0"/>
          <w:color w:val="000000"/>
          <w:sz w:val="29"/>
        </w:rPr>
        <w:t>Två hemmapass på cirka 30 minuter</w:t>
      </w:r>
    </w:p>
    <w:p>
      <w:pPr>
        <w:spacing w:before="100" w:after="40" w:line="252" w:lineRule="auto"/>
        <w:jc w:val="center"/>
      </w:pPr>
      <w:r>
        <w:rPr>
          <w:rFonts w:ascii="URW Gothic" w:hAnsi="URW Gothic"/>
          <w:b/>
          <w:i w:val="0"/>
          <w:color w:val="6F7B64"/>
          <w:sz w:val="17"/>
        </w:rPr>
        <w:t>PERSONLIG VÄGLEDNING</w:t>
      </w:r>
    </w:p>
    <w:p>
      <w:pPr>
        <w:spacing w:before="0" w:after="200" w:line="259" w:lineRule="auto"/>
        <w:jc w:val="center"/>
      </w:pPr>
      <w:r>
        <w:rPr>
          <w:rFonts w:ascii="Bitstream Charter" w:hAnsi="Bitstream Charter"/>
          <w:b w:val="0"/>
          <w:i w:val="0"/>
          <w:color w:val="000000"/>
          <w:sz w:val="29"/>
        </w:rPr>
        <w:t>Ett coachat onlinepass på 45 minuter</w:t>
      </w:r>
    </w:p>
    <w:p>
      <w:pPr>
        <w:spacing w:before="100" w:after="40" w:line="252" w:lineRule="auto"/>
        <w:jc w:val="center"/>
      </w:pPr>
      <w:r>
        <w:rPr>
          <w:rFonts w:ascii="URW Gothic" w:hAnsi="URW Gothic"/>
          <w:b/>
          <w:i w:val="0"/>
          <w:color w:val="C68E9A"/>
          <w:sz w:val="17"/>
        </w:rPr>
        <w:t>KURSENS FÖRDJUPNING</w:t>
      </w:r>
    </w:p>
    <w:p>
      <w:pPr>
        <w:spacing w:before="0" w:after="200" w:line="259" w:lineRule="auto"/>
        <w:jc w:val="center"/>
      </w:pPr>
      <w:r>
        <w:rPr>
          <w:rFonts w:ascii="Bitstream Charter" w:hAnsi="Bitstream Charter"/>
          <w:b w:val="0"/>
          <w:i w:val="0"/>
          <w:color w:val="000000"/>
          <w:sz w:val="29"/>
        </w:rPr>
        <w:t>Tre föreläsningar och tre individuella samtal</w:t>
      </w:r>
    </w:p>
    <w:p>
      <w:pPr>
        <w:spacing w:before="300" w:after="120" w:line="276" w:lineRule="auto"/>
        <w:jc w:val="center"/>
      </w:pPr>
      <w:r>
        <w:rPr>
          <w:rFonts w:ascii="URW Gothic" w:hAnsi="URW Gothic"/>
          <w:b w:val="0"/>
          <w:i/>
          <w:color w:val="2E2B2B"/>
          <w:sz w:val="22"/>
        </w:rPr>
        <w:t>Programmet påbörjas efter efterkontroll eller annan individuell bedömning. Träningen anpassas efter läkning, dagsform och symtom.</w:t>
      </w:r>
    </w:p>
    <w:p>
      <w:pPr>
        <w:spacing w:before="200" w:after="0" w:line="259" w:lineRule="auto"/>
        <w:jc w:val="center"/>
      </w:pPr>
      <w:r>
        <w:rPr>
          <w:rFonts w:ascii="URW Gothic" w:hAnsi="URW Gothic"/>
          <w:b/>
          <w:i w:val="0"/>
          <w:color w:val="C68E9A"/>
          <w:sz w:val="20"/>
        </w:rPr>
        <w:t>Sandra Rosell  |  Ölmstads Hälsostudio</w:t>
      </w:r>
    </w:p>
    <w:p>
      <w:r>
        <w:br w:type="page"/>
      </w:r>
    </w:p>
    <w:p>
      <w:pPr>
        <w:pStyle w:val="Heading1"/>
        <w:keepNext/>
      </w:pPr>
      <w:r>
        <w:rPr>
          <w:rFonts w:ascii="Bitstream Charter" w:hAnsi="Bitstream Charter"/>
          <w:b w:val="0"/>
          <w:i w:val="0"/>
          <w:color w:val="000000"/>
          <w:sz w:val="40"/>
        </w:rPr>
        <w:t>Så använder du kursboken</w:t>
      </w:r>
    </w:p>
    <w:p>
      <w:pPr>
        <w:spacing w:before="0" w:after="180" w:line="271" w:lineRule="auto"/>
      </w:pPr>
      <w:r>
        <w:rPr>
          <w:rFonts w:ascii="URW Gothic" w:hAnsi="URW Gothic"/>
          <w:b w:val="0"/>
          <w:i w:val="0"/>
          <w:color w:val="2E2B2B"/>
          <w:sz w:val="20"/>
        </w:rPr>
        <w:t>Kursboken samlar kursens ram, progressionsprinciper, säkerhetsråd och kunskapsinnehåll. Den är ett stöd före och under träningen och ersätter inte en individuell medicinsk bedömning eller rehabilitering.</w:t>
      </w:r>
    </w:p>
    <w:p>
      <w:pPr>
        <w:pStyle w:val="Heading2"/>
        <w:keepNext/>
      </w:pPr>
      <w:r>
        <w:rPr>
          <w:rFonts w:ascii="Bitstream Charter" w:hAnsi="Bitstream Charter"/>
          <w:b/>
          <w:i w:val="0"/>
          <w:color w:val="000000"/>
          <w:sz w:val="27"/>
        </w:rPr>
        <w:t>Kursboken och kursplattformen</w:t>
      </w:r>
    </w:p>
    <w:p>
      <w:pPr>
        <w:spacing w:before="0" w:after="120" w:line="269" w:lineRule="auto"/>
      </w:pPr>
      <w:r>
        <w:rPr>
          <w:rFonts w:ascii="URW Gothic" w:hAnsi="URW Gothic"/>
          <w:b/>
          <w:i w:val="0"/>
          <w:color w:val="2E2B2B"/>
          <w:sz w:val="20"/>
        </w:rPr>
        <w:t xml:space="preserve">I kursboken finns </w:t>
      </w:r>
      <w:r>
        <w:rPr>
          <w:rFonts w:ascii="URW Gothic" w:hAnsi="URW Gothic"/>
          <w:b w:val="0"/>
          <w:i w:val="0"/>
          <w:color w:val="2E2B2B"/>
          <w:sz w:val="20"/>
        </w:rPr>
        <w:t>kursinformation, säkerhetsråd, progressionsmöjligheter och föreläsningarnas namn.</w:t>
      </w:r>
    </w:p>
    <w:p>
      <w:pPr>
        <w:spacing w:before="0" w:after="120" w:line="269" w:lineRule="auto"/>
      </w:pPr>
      <w:r>
        <w:rPr>
          <w:rFonts w:ascii="URW Gothic" w:hAnsi="URW Gothic"/>
          <w:b/>
          <w:i w:val="0"/>
          <w:color w:val="2E2B2B"/>
          <w:sz w:val="20"/>
        </w:rPr>
        <w:t xml:space="preserve">I kursplattformen finns </w:t>
      </w:r>
      <w:r>
        <w:rPr>
          <w:rFonts w:ascii="URW Gothic" w:hAnsi="URW Gothic"/>
          <w:b w:val="0"/>
          <w:i w:val="0"/>
          <w:color w:val="2E2B2B"/>
          <w:sz w:val="20"/>
        </w:rPr>
        <w:t>de fullständiga träningspassen, övningsbilderna och instruktionerna. Där sparas också genomförda pass, ansträngning, kroppens respons, egna reflektioner, frågor till mig samt min personliga återkoppling.</w:t>
      </w:r>
    </w:p>
    <w:p>
      <w:pPr>
        <w:pStyle w:val="Heading2"/>
        <w:keepNext/>
      </w:pPr>
      <w:r>
        <w:rPr>
          <w:rFonts w:ascii="Bitstream Charter" w:hAnsi="Bitstream Charter"/>
          <w:b/>
          <w:i w:val="0"/>
          <w:color w:val="000000"/>
          <w:sz w:val="27"/>
        </w:rPr>
        <w:t>Så ska träningen kännas</w:t>
      </w:r>
    </w:p>
    <w:p>
      <w:pPr>
        <w:pStyle w:val="ListBullet"/>
        <w:spacing w:before="0" w:after="60" w:line="252" w:lineRule="auto"/>
      </w:pPr>
      <w:r>
        <w:rPr>
          <w:rFonts w:ascii="URW Gothic" w:hAnsi="URW Gothic"/>
          <w:b w:val="0"/>
          <w:i w:val="0"/>
          <w:color w:val="2E2B2B"/>
          <w:sz w:val="20"/>
        </w:rPr>
        <w:t>Börja lätt till måttligt och lämna flera repetitioner i reserv.</w:t>
      </w:r>
    </w:p>
    <w:p>
      <w:pPr>
        <w:pStyle w:val="ListBullet"/>
        <w:spacing w:before="0" w:after="60" w:line="252" w:lineRule="auto"/>
      </w:pPr>
      <w:r>
        <w:rPr>
          <w:rFonts w:ascii="URW Gothic" w:hAnsi="URW Gothic"/>
          <w:b w:val="0"/>
          <w:i w:val="0"/>
          <w:color w:val="2E2B2B"/>
          <w:sz w:val="20"/>
        </w:rPr>
        <w:t>Andas genom rörelsen och andas gärna ut i den tyngsta delen.</w:t>
      </w:r>
    </w:p>
    <w:p>
      <w:pPr>
        <w:pStyle w:val="ListBullet"/>
        <w:spacing w:before="0" w:after="60" w:line="252" w:lineRule="auto"/>
      </w:pPr>
      <w:r>
        <w:rPr>
          <w:rFonts w:ascii="URW Gothic" w:hAnsi="URW Gothic"/>
          <w:b w:val="0"/>
          <w:i w:val="0"/>
          <w:color w:val="2E2B2B"/>
          <w:sz w:val="20"/>
        </w:rPr>
        <w:t>Välj en nivå där mage, bäckenbotten, rygg och eventuellt operationsärr känns stabila.</w:t>
      </w:r>
    </w:p>
    <w:p>
      <w:pPr>
        <w:pStyle w:val="ListBullet"/>
        <w:spacing w:before="0" w:after="60" w:line="252" w:lineRule="auto"/>
      </w:pPr>
      <w:r>
        <w:rPr>
          <w:rFonts w:ascii="URW Gothic" w:hAnsi="URW Gothic"/>
          <w:b w:val="0"/>
          <w:i w:val="0"/>
          <w:color w:val="2E2B2B"/>
          <w:sz w:val="20"/>
        </w:rPr>
        <w:t>Bedöm också hur kroppen reagerar senare samma dag och nästa dag.</w:t>
      </w:r>
    </w:p>
    <w:p>
      <w:pPr>
        <w:pStyle w:val="ListBullet"/>
        <w:spacing w:before="0" w:after="60" w:line="252" w:lineRule="auto"/>
      </w:pPr>
      <w:r>
        <w:rPr>
          <w:rFonts w:ascii="URW Gothic" w:hAnsi="URW Gothic"/>
          <w:b w:val="0"/>
          <w:i w:val="0"/>
          <w:color w:val="2E2B2B"/>
          <w:sz w:val="20"/>
        </w:rPr>
        <w:t>Upprepa en vecka eller skala ned om kroppen behöver mer tid.</w:t>
      </w:r>
    </w:p>
    <w:p>
      <w:pPr>
        <w:pStyle w:val="Heading2"/>
        <w:keepNext/>
      </w:pPr>
      <w:r>
        <w:rPr>
          <w:rFonts w:ascii="Bitstream Charter" w:hAnsi="Bitstream Charter"/>
          <w:b/>
          <w:i w:val="0"/>
          <w:color w:val="000000"/>
          <w:sz w:val="27"/>
        </w:rPr>
        <w:t>Pausa och sök råd</w:t>
      </w:r>
    </w:p>
    <w:p>
      <w:pPr>
        <w:spacing w:before="0" w:after="120" w:line="259" w:lineRule="auto"/>
      </w:pPr>
      <w:r>
        <w:rPr>
          <w:rFonts w:ascii="URW Gothic" w:hAnsi="URW Gothic"/>
          <w:b w:val="0"/>
          <w:i w:val="0"/>
          <w:color w:val="2E2B2B"/>
          <w:sz w:val="20"/>
        </w:rPr>
        <w:t>Pausa eller välj en lättare variant vid ökande smärta, läckage, tyngdkänsla, obehag i bäckenbotten, tydlig buktning längs magen, ökad blödning, sår- eller ärrbesvär, yrsel eller ovanlig andfåddhet. Kontakta barnmorska, läkare eller fysioterapeut inom kvinnohälsa om besvären kvarstår eller oroar dig.</w:t>
      </w:r>
    </w:p>
    <w:p>
      <w:pPr>
        <w:spacing w:before="0" w:after="0" w:line="259" w:lineRule="auto"/>
      </w:pPr>
      <w:r>
        <w:rPr>
          <w:rFonts w:ascii="URW Gothic" w:hAnsi="URW Gothic"/>
          <w:b/>
          <w:i w:val="0"/>
          <w:color w:val="2E2B2B"/>
          <w:sz w:val="20"/>
        </w:rPr>
        <w:t>Sök akut vård vid bröstsmärta, svår andnöd, svimning, kraftig blödning, ensidig svullnad eller smärta i benet eller plötslig svår huvudvärk.</w:t>
      </w:r>
    </w:p>
    <w:p>
      <w:r>
        <w:br w:type="page"/>
      </w:r>
    </w:p>
    <w:p>
      <w:pPr>
        <w:pStyle w:val="Heading1"/>
        <w:keepNext/>
      </w:pPr>
      <w:r>
        <w:rPr>
          <w:rFonts w:ascii="Bitstream Charter" w:hAnsi="Bitstream Charter"/>
          <w:b w:val="0"/>
          <w:i w:val="0"/>
          <w:color w:val="000000"/>
          <w:sz w:val="40"/>
        </w:rPr>
        <w:t>Kursens sex veckor</w:t>
      </w:r>
    </w:p>
    <w:p>
      <w:pPr>
        <w:spacing w:before="0" w:after="160" w:line="259" w:lineRule="auto"/>
      </w:pPr>
      <w:r>
        <w:rPr>
          <w:rFonts w:ascii="URW Gothic" w:hAnsi="URW Gothic"/>
          <w:b w:val="0"/>
          <w:i w:val="0"/>
          <w:color w:val="2E2B2B"/>
          <w:sz w:val="20"/>
        </w:rPr>
        <w:t>Veckorytmen kan flyttas efter sömn, barnets behov och återhämtning. Lägg gärna minst en vilodag mellan hemmapassen.</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605"/>
            <w:vAlign w:val="center"/>
            <w:shd w:fill="C68E9A"/>
            <w:tcBorders>
              <w:top w:val="single" w:sz="5" w:color="D8DDD2"/>
              <w:left w:val="single" w:sz="5" w:color="D8DDD2"/>
              <w:bottom w:val="single" w:sz="5" w:color="D8DDD2"/>
              <w:right w:val="single" w:sz="5" w:color="D8DDD2"/>
              <w:insideH w:val="single" w:sz="5" w:color="D8DDD2"/>
              <w:insideV w:val="single" w:sz="5" w:color="D8DDD2"/>
            </w:tcBorders>
            <w:tcMar>
              <w:top w:w="105" w:type="dxa"/>
              <w:start w:w="100" w:type="dxa"/>
              <w:bottom w:w="105" w:type="dxa"/>
              <w:end w:w="100" w:type="dxa"/>
            </w:tcMar>
          </w:tcPr>
          <w:p>
            <w:pPr>
              <w:spacing w:before="0" w:after="0" w:line="240" w:lineRule="auto"/>
            </w:pPr>
            <w:r/>
            <w:r>
              <w:rPr>
                <w:rFonts w:ascii="URW Gothic" w:hAnsi="URW Gothic"/>
                <w:b/>
                <w:i w:val="0"/>
                <w:color w:val="FFFFFF"/>
                <w:sz w:val="17"/>
              </w:rPr>
              <w:t>V</w:t>
            </w:r>
          </w:p>
        </w:tc>
        <w:tc>
          <w:tcPr>
            <w:tcW w:type="dxa" w:w="3672"/>
            <w:vAlign w:val="center"/>
            <w:shd w:fill="C68E9A"/>
            <w:tcBorders>
              <w:top w:val="single" w:sz="5" w:color="D8DDD2"/>
              <w:left w:val="single" w:sz="5" w:color="D8DDD2"/>
              <w:bottom w:val="single" w:sz="5" w:color="D8DDD2"/>
              <w:right w:val="single" w:sz="5" w:color="D8DDD2"/>
              <w:insideH w:val="single" w:sz="5" w:color="D8DDD2"/>
              <w:insideV w:val="single" w:sz="5" w:color="D8DDD2"/>
            </w:tcBorders>
            <w:tcMar>
              <w:top w:w="105" w:type="dxa"/>
              <w:start w:w="100" w:type="dxa"/>
              <w:bottom w:w="105" w:type="dxa"/>
              <w:end w:w="100" w:type="dxa"/>
            </w:tcMar>
          </w:tcPr>
          <w:p>
            <w:pPr>
              <w:spacing w:before="0" w:after="0" w:line="240" w:lineRule="auto"/>
            </w:pPr>
            <w:r/>
            <w:r>
              <w:rPr>
                <w:rFonts w:ascii="URW Gothic" w:hAnsi="URW Gothic"/>
                <w:b/>
                <w:i w:val="0"/>
                <w:color w:val="FFFFFF"/>
                <w:sz w:val="17"/>
              </w:rPr>
              <w:t>Hemmaträningens fokus</w:t>
            </w:r>
          </w:p>
        </w:tc>
        <w:tc>
          <w:tcPr>
            <w:tcW w:type="dxa" w:w="3096"/>
            <w:vAlign w:val="center"/>
            <w:shd w:fill="C68E9A"/>
            <w:tcBorders>
              <w:top w:val="single" w:sz="5" w:color="D8DDD2"/>
              <w:left w:val="single" w:sz="5" w:color="D8DDD2"/>
              <w:bottom w:val="single" w:sz="5" w:color="D8DDD2"/>
              <w:right w:val="single" w:sz="5" w:color="D8DDD2"/>
              <w:insideH w:val="single" w:sz="5" w:color="D8DDD2"/>
              <w:insideV w:val="single" w:sz="5" w:color="D8DDD2"/>
            </w:tcBorders>
            <w:tcMar>
              <w:top w:w="105" w:type="dxa"/>
              <w:start w:w="100" w:type="dxa"/>
              <w:bottom w:w="105" w:type="dxa"/>
              <w:end w:w="100" w:type="dxa"/>
            </w:tcMar>
          </w:tcPr>
          <w:p>
            <w:pPr>
              <w:spacing w:before="0" w:after="0" w:line="240" w:lineRule="auto"/>
            </w:pPr>
            <w:r/>
            <w:r>
              <w:rPr>
                <w:rFonts w:ascii="URW Gothic" w:hAnsi="URW Gothic"/>
                <w:b/>
                <w:i w:val="0"/>
                <w:color w:val="FFFFFF"/>
                <w:sz w:val="17"/>
              </w:rPr>
              <w:t>Coachat pass</w:t>
            </w:r>
          </w:p>
        </w:tc>
        <w:tc>
          <w:tcPr>
            <w:tcW w:type="dxa" w:w="2520"/>
            <w:vAlign w:val="center"/>
            <w:shd w:fill="C68E9A"/>
            <w:tcBorders>
              <w:top w:val="single" w:sz="5" w:color="D8DDD2"/>
              <w:left w:val="single" w:sz="5" w:color="D8DDD2"/>
              <w:bottom w:val="single" w:sz="5" w:color="D8DDD2"/>
              <w:right w:val="single" w:sz="5" w:color="D8DDD2"/>
              <w:insideH w:val="single" w:sz="5" w:color="D8DDD2"/>
              <w:insideV w:val="single" w:sz="5" w:color="D8DDD2"/>
            </w:tcBorders>
            <w:tcMar>
              <w:top w:w="105" w:type="dxa"/>
              <w:start w:w="100" w:type="dxa"/>
              <w:bottom w:w="105" w:type="dxa"/>
              <w:end w:w="100" w:type="dxa"/>
            </w:tcMar>
          </w:tcPr>
          <w:p>
            <w:pPr>
              <w:spacing w:before="0" w:after="0" w:line="240" w:lineRule="auto"/>
            </w:pPr>
            <w:r/>
            <w:r>
              <w:rPr>
                <w:rFonts w:ascii="URW Gothic" w:hAnsi="URW Gothic"/>
                <w:b/>
                <w:i w:val="0"/>
                <w:color w:val="FFFFFF"/>
                <w:sz w:val="17"/>
              </w:rPr>
              <w:t>Övrigt</w:t>
            </w:r>
          </w:p>
        </w:tc>
      </w:tr>
      <w:tr>
        <w:tc>
          <w:tcPr>
            <w:tcW w:type="dxa" w:w="605"/>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1</w:t>
            </w:r>
          </w:p>
        </w:tc>
        <w:tc>
          <w:tcPr>
            <w:tcW w:type="dxa" w:w="3672"/>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Trygg start, teknik och andning</w:t>
            </w:r>
          </w:p>
        </w:tc>
        <w:tc>
          <w:tcPr>
            <w:tcW w:type="dxa" w:w="3096"/>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Lugn introduktion och individuell nivå</w:t>
            </w:r>
          </w:p>
        </w:tc>
        <w:tc>
          <w:tcPr>
            <w:tcW w:type="dxa" w:w="2520"/>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Föreläsning 1 och samtal 1</w:t>
            </w:r>
          </w:p>
        </w:tc>
      </w:tr>
      <w:tr>
        <w:tc>
          <w:tcPr>
            <w:tcW w:type="dxa" w:w="605"/>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2</w:t>
            </w:r>
          </w:p>
        </w:tc>
        <w:tc>
          <w:tcPr>
            <w:tcW w:type="dxa" w:w="3672"/>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Jämn rytm och återhämtning</w:t>
            </w:r>
          </w:p>
        </w:tc>
        <w:tc>
          <w:tcPr>
            <w:tcW w:type="dxa" w:w="3096"/>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Bäckenbotten och vardagsrörelser</w:t>
            </w:r>
          </w:p>
        </w:tc>
        <w:tc>
          <w:tcPr>
            <w:tcW w:type="dxa" w:w="2520"/>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Coachat onlinepass</w:t>
            </w:r>
          </w:p>
        </w:tc>
      </w:tr>
      <w:tr>
        <w:tc>
          <w:tcPr>
            <w:tcW w:type="dxa" w:w="605"/>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3</w:t>
            </w:r>
          </w:p>
        </w:tc>
        <w:tc>
          <w:tcPr>
            <w:tcW w:type="dxa" w:w="3672"/>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Kontroll i bål och grundrörelser</w:t>
            </w:r>
          </w:p>
        </w:tc>
        <w:tc>
          <w:tcPr>
            <w:tcW w:type="dxa" w:w="3096"/>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Stabilitet och anpassning</w:t>
            </w:r>
          </w:p>
        </w:tc>
        <w:tc>
          <w:tcPr>
            <w:tcW w:type="dxa" w:w="2520"/>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Föreläsning 2 och samtal 2</w:t>
            </w:r>
          </w:p>
        </w:tc>
      </w:tr>
      <w:tr>
        <w:tc>
          <w:tcPr>
            <w:tcW w:type="dxa" w:w="605"/>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4</w:t>
            </w:r>
          </w:p>
        </w:tc>
        <w:tc>
          <w:tcPr>
            <w:tcW w:type="dxa" w:w="3672"/>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Successivt större arbetsmängd</w:t>
            </w:r>
          </w:p>
        </w:tc>
        <w:tc>
          <w:tcPr>
            <w:tcW w:type="dxa" w:w="3096"/>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Balans och helkropp</w:t>
            </w:r>
          </w:p>
        </w:tc>
        <w:tc>
          <w:tcPr>
            <w:tcW w:type="dxa" w:w="2520"/>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Coachat onlinepass</w:t>
            </w:r>
          </w:p>
        </w:tc>
      </w:tr>
      <w:tr>
        <w:tc>
          <w:tcPr>
            <w:tcW w:type="dxa" w:w="605"/>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5</w:t>
            </w:r>
          </w:p>
        </w:tc>
        <w:tc>
          <w:tcPr>
            <w:tcW w:type="dxa" w:w="3672"/>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Styrka i vardagen</w:t>
            </w:r>
          </w:p>
        </w:tc>
        <w:tc>
          <w:tcPr>
            <w:tcW w:type="dxa" w:w="3096"/>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Belastning utifrån dagsform</w:t>
            </w:r>
          </w:p>
        </w:tc>
        <w:tc>
          <w:tcPr>
            <w:tcW w:type="dxa" w:w="2520"/>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Föreläsning 3 och samtal 3</w:t>
            </w:r>
          </w:p>
        </w:tc>
      </w:tr>
      <w:tr>
        <w:tc>
          <w:tcPr>
            <w:tcW w:type="dxa" w:w="605"/>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6</w:t>
            </w:r>
          </w:p>
        </w:tc>
        <w:tc>
          <w:tcPr>
            <w:tcW w:type="dxa" w:w="3672"/>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Befäst en hållbar nivå</w:t>
            </w:r>
          </w:p>
        </w:tc>
        <w:tc>
          <w:tcPr>
            <w:tcW w:type="dxa" w:w="3096"/>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Teknikcheck och plan framåt</w:t>
            </w:r>
          </w:p>
        </w:tc>
        <w:tc>
          <w:tcPr>
            <w:tcW w:type="dxa" w:w="2520"/>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Coachat onlinepass</w:t>
            </w:r>
          </w:p>
        </w:tc>
      </w:tr>
    </w:tbl>
    <w:p>
      <w:pPr>
        <w:spacing w:after="20"/>
      </w:pPr>
    </w:p>
    <w:p>
      <w:pPr>
        <w:pStyle w:val="Heading2"/>
        <w:keepNext/>
      </w:pPr>
      <w:r>
        <w:rPr>
          <w:rFonts w:ascii="Bitstream Charter" w:hAnsi="Bitstream Charter"/>
          <w:b/>
          <w:i w:val="0"/>
          <w:color w:val="000000"/>
          <w:sz w:val="27"/>
        </w:rPr>
        <w:t>Ram för träningsveckan</w:t>
      </w:r>
    </w:p>
    <w:p>
      <w:pPr>
        <w:pStyle w:val="ListBullet"/>
        <w:spacing w:before="0" w:after="60" w:line="252" w:lineRule="auto"/>
      </w:pPr>
      <w:r>
        <w:rPr>
          <w:rFonts w:ascii="URW Gothic" w:hAnsi="URW Gothic"/>
          <w:b w:val="0"/>
          <w:i w:val="0"/>
          <w:color w:val="2E2B2B"/>
          <w:sz w:val="20"/>
        </w:rPr>
        <w:t>Två hemmapass på cirka 30 minuter med olika rörelsefokus.</w:t>
      </w:r>
    </w:p>
    <w:p>
      <w:pPr>
        <w:pStyle w:val="ListBullet"/>
        <w:spacing w:before="0" w:after="60" w:line="252" w:lineRule="auto"/>
      </w:pPr>
      <w:r>
        <w:rPr>
          <w:rFonts w:ascii="URW Gothic" w:hAnsi="URW Gothic"/>
          <w:b w:val="0"/>
          <w:i w:val="0"/>
          <w:color w:val="2E2B2B"/>
          <w:sz w:val="20"/>
        </w:rPr>
        <w:t>Ett coachat onlinepass på 45 minuter med möjlighet till individuell anpassning.</w:t>
      </w:r>
    </w:p>
    <w:p>
      <w:pPr>
        <w:pStyle w:val="ListBullet"/>
        <w:spacing w:before="0" w:after="60" w:line="252" w:lineRule="auto"/>
      </w:pPr>
      <w:r>
        <w:rPr>
          <w:rFonts w:ascii="URW Gothic" w:hAnsi="URW Gothic"/>
          <w:b w:val="0"/>
          <w:i w:val="0"/>
          <w:color w:val="2E2B2B"/>
          <w:sz w:val="20"/>
        </w:rPr>
        <w:t>Minst en vilodag mellan hemmapassen när återhämtningen kräver det.</w:t>
      </w:r>
    </w:p>
    <w:p>
      <w:pPr>
        <w:pStyle w:val="ListBullet"/>
        <w:spacing w:before="0" w:after="60" w:line="252" w:lineRule="auto"/>
      </w:pPr>
      <w:r>
        <w:rPr>
          <w:rFonts w:ascii="URW Gothic" w:hAnsi="URW Gothic"/>
          <w:b w:val="0"/>
          <w:i w:val="0"/>
          <w:color w:val="2E2B2B"/>
          <w:sz w:val="20"/>
        </w:rPr>
        <w:t>De fullständiga passen, övningsbilderna och instruktionerna finns endast i kursplattformen.</w:t>
      </w:r>
    </w:p>
    <w:p>
      <w:pPr>
        <w:pStyle w:val="Heading2"/>
        <w:keepNext/>
      </w:pPr>
      <w:r>
        <w:rPr>
          <w:rFonts w:ascii="Bitstream Charter" w:hAnsi="Bitstream Charter"/>
          <w:b/>
          <w:i w:val="0"/>
          <w:color w:val="000000"/>
          <w:sz w:val="27"/>
        </w:rPr>
        <w:t>Progressionsmöjligheter</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2232"/>
            <w:vAlign w:val="center"/>
            <w:shd w:fill="6F7B64"/>
            <w:tcBorders>
              <w:top w:val="single" w:sz="5" w:color="D8DDD2"/>
              <w:left w:val="single" w:sz="5" w:color="D8DDD2"/>
              <w:bottom w:val="single" w:sz="5" w:color="D8DDD2"/>
              <w:right w:val="single" w:sz="5" w:color="D8DDD2"/>
              <w:insideH w:val="single" w:sz="5" w:color="D8DDD2"/>
              <w:insideV w:val="single" w:sz="5" w:color="D8DDD2"/>
            </w:tcBorders>
            <w:tcMar>
              <w:top w:w="105" w:type="dxa"/>
              <w:start w:w="100" w:type="dxa"/>
              <w:bottom w:w="105" w:type="dxa"/>
              <w:end w:w="100" w:type="dxa"/>
            </w:tcMar>
          </w:tcPr>
          <w:p>
            <w:pPr>
              <w:spacing w:before="0" w:after="0" w:line="240" w:lineRule="auto"/>
            </w:pPr>
            <w:r/>
            <w:r>
              <w:rPr>
                <w:rFonts w:ascii="URW Gothic" w:hAnsi="URW Gothic"/>
                <w:b/>
                <w:i w:val="0"/>
                <w:color w:val="FFFFFF"/>
                <w:sz w:val="17"/>
              </w:rPr>
              <w:t>Det som kan stegras</w:t>
            </w:r>
          </w:p>
        </w:tc>
        <w:tc>
          <w:tcPr>
            <w:tcW w:type="dxa" w:w="7416"/>
            <w:vAlign w:val="center"/>
            <w:shd w:fill="6F7B64"/>
            <w:tcBorders>
              <w:top w:val="single" w:sz="5" w:color="D8DDD2"/>
              <w:left w:val="single" w:sz="5" w:color="D8DDD2"/>
              <w:bottom w:val="single" w:sz="5" w:color="D8DDD2"/>
              <w:right w:val="single" w:sz="5" w:color="D8DDD2"/>
              <w:insideH w:val="single" w:sz="5" w:color="D8DDD2"/>
              <w:insideV w:val="single" w:sz="5" w:color="D8DDD2"/>
            </w:tcBorders>
            <w:tcMar>
              <w:top w:w="105" w:type="dxa"/>
              <w:start w:w="100" w:type="dxa"/>
              <w:bottom w:w="105" w:type="dxa"/>
              <w:end w:w="100" w:type="dxa"/>
            </w:tcMar>
          </w:tcPr>
          <w:p>
            <w:pPr>
              <w:spacing w:before="0" w:after="0" w:line="240" w:lineRule="auto"/>
            </w:pPr>
            <w:r/>
            <w:r>
              <w:rPr>
                <w:rFonts w:ascii="URW Gothic" w:hAnsi="URW Gothic"/>
                <w:b/>
                <w:i w:val="0"/>
                <w:color w:val="FFFFFF"/>
                <w:sz w:val="17"/>
              </w:rPr>
              <w:t>Så kan progressionen göras</w:t>
            </w:r>
          </w:p>
        </w:tc>
      </w:tr>
      <w:tr>
        <w:tc>
          <w:tcPr>
            <w:tcW w:type="dxa" w:w="2232"/>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Repetitioner</w:t>
            </w:r>
          </w:p>
        </w:tc>
        <w:tc>
          <w:tcPr>
            <w:tcW w:type="dxa" w:w="7416"/>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Lägg till någon repetition när teknik, andning och kroppens respons är stabila.</w:t>
            </w:r>
          </w:p>
        </w:tc>
      </w:tr>
      <w:tr>
        <w:tc>
          <w:tcPr>
            <w:tcW w:type="dxa" w:w="2232"/>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Arbetsmängd</w:t>
            </w:r>
          </w:p>
        </w:tc>
        <w:tc>
          <w:tcPr>
            <w:tcW w:type="dxa" w:w="7416"/>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Lägg till ett set eller ett varv i en del av passet, inte överallt samtidigt.</w:t>
            </w:r>
          </w:p>
        </w:tc>
      </w:tr>
      <w:tr>
        <w:tc>
          <w:tcPr>
            <w:tcW w:type="dxa" w:w="2232"/>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Rörelseomfång</w:t>
            </w:r>
          </w:p>
        </w:tc>
        <w:tc>
          <w:tcPr>
            <w:tcW w:type="dxa" w:w="7416"/>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Öka rörelsens djup eller längd gradvis och bara inom ett symtomfritt omfång.</w:t>
            </w:r>
          </w:p>
        </w:tc>
      </w:tr>
      <w:tr>
        <w:tc>
          <w:tcPr>
            <w:tcW w:type="dxa" w:w="2232"/>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Belastning</w:t>
            </w:r>
          </w:p>
        </w:tc>
        <w:tc>
          <w:tcPr>
            <w:tcW w:type="dxa" w:w="7416"/>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Öka vikten i små steg när samma nivå har känts stabil under och efter träningen.</w:t>
            </w:r>
          </w:p>
        </w:tc>
      </w:tr>
      <w:tr>
        <w:tc>
          <w:tcPr>
            <w:tcW w:type="dxa" w:w="2232"/>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Tempo</w:t>
            </w:r>
          </w:p>
        </w:tc>
        <w:tc>
          <w:tcPr>
            <w:tcW w:type="dxa" w:w="7416"/>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Arbeta långsammare för mer kontroll eller något snabbare först när rörelsen är trygg.</w:t>
            </w:r>
          </w:p>
        </w:tc>
      </w:tr>
      <w:tr>
        <w:tc>
          <w:tcPr>
            <w:tcW w:type="dxa" w:w="2232"/>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Komplexitet</w:t>
            </w:r>
          </w:p>
        </w:tc>
        <w:tc>
          <w:tcPr>
            <w:tcW w:type="dxa" w:w="7416"/>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Gå från mer stöd till mindre stöd eller från enklare till mer sammansatta varianter.</w:t>
            </w:r>
          </w:p>
        </w:tc>
      </w:tr>
    </w:tbl>
    <w:p>
      <w:pPr>
        <w:spacing w:after="20"/>
      </w:pPr>
    </w:p>
    <w:p>
      <w:pPr>
        <w:spacing w:before="100" w:after="0" w:line="259" w:lineRule="auto"/>
      </w:pPr>
      <w:r>
        <w:rPr>
          <w:rFonts w:ascii="URW Gothic" w:hAnsi="URW Gothic"/>
          <w:b/>
          <w:i w:val="0"/>
          <w:color w:val="2E2B2B"/>
          <w:sz w:val="20"/>
        </w:rPr>
        <w:t>Öka bara en sak åt gången och följ kroppens respons under passet, senare samma dag och nästa dag.</w:t>
      </w:r>
    </w:p>
    <w:p>
      <w:r>
        <w:br w:type="page"/>
      </w:r>
    </w:p>
    <w:p>
      <w:pPr>
        <w:pStyle w:val="Heading1"/>
        <w:keepNext/>
      </w:pPr>
      <w:r>
        <w:rPr>
          <w:rFonts w:ascii="Bitstream Charter" w:hAnsi="Bitstream Charter"/>
          <w:b w:val="0"/>
          <w:i w:val="0"/>
          <w:color w:val="000000"/>
          <w:sz w:val="40"/>
        </w:rPr>
        <w:t>När bebisen är med i träningen</w:t>
      </w:r>
    </w:p>
    <w:p>
      <w:pPr>
        <w:spacing w:before="0" w:after="180" w:line="271" w:lineRule="auto"/>
      </w:pPr>
      <w:r>
        <w:rPr>
          <w:rFonts w:ascii="URW Gothic" w:hAnsi="URW Gothic"/>
          <w:b w:val="0"/>
          <w:i w:val="0"/>
          <w:color w:val="2E2B2B"/>
          <w:sz w:val="20"/>
        </w:rPr>
        <w:t>Bebisen kan vara en del av stunden utan att behöva fungera som träningsredskap. Den vuxnes balans, grepp och rörelsekontroll måste alltid komma först.</w:t>
      </w:r>
    </w:p>
    <w:p>
      <w:pPr>
        <w:pStyle w:val="Heading2"/>
        <w:keepNext/>
      </w:pPr>
      <w:r>
        <w:rPr>
          <w:rFonts w:ascii="Bitstream Charter" w:hAnsi="Bitstream Charter"/>
          <w:b/>
          <w:i w:val="0"/>
          <w:color w:val="000000"/>
          <w:sz w:val="27"/>
        </w:rPr>
        <w:t>Bärsele</w:t>
      </w:r>
    </w:p>
    <w:p>
      <w:pPr>
        <w:pStyle w:val="ListBullet"/>
        <w:spacing w:before="0" w:after="60" w:line="252" w:lineRule="auto"/>
      </w:pPr>
      <w:r>
        <w:rPr>
          <w:rFonts w:ascii="URW Gothic" w:hAnsi="URW Gothic"/>
          <w:b w:val="0"/>
          <w:i w:val="0"/>
          <w:color w:val="2E2B2B"/>
          <w:sz w:val="20"/>
        </w:rPr>
        <w:t>Följ tillverkarens anvisningar och använd en sele som är rätt inställd för både vuxen och barn.</w:t>
      </w:r>
    </w:p>
    <w:p>
      <w:pPr>
        <w:pStyle w:val="ListBullet"/>
        <w:spacing w:before="0" w:after="60" w:line="252" w:lineRule="auto"/>
      </w:pPr>
      <w:r>
        <w:rPr>
          <w:rFonts w:ascii="URW Gothic" w:hAnsi="URW Gothic"/>
          <w:b w:val="0"/>
          <w:i w:val="0"/>
          <w:color w:val="2E2B2B"/>
          <w:sz w:val="20"/>
        </w:rPr>
        <w:t>Bebisens ansikte ska vara synligt, hakan fri från bröstet och luftvägarna fria.</w:t>
      </w:r>
    </w:p>
    <w:p>
      <w:pPr>
        <w:pStyle w:val="ListBullet"/>
        <w:spacing w:before="0" w:after="60" w:line="252" w:lineRule="auto"/>
      </w:pPr>
      <w:r>
        <w:rPr>
          <w:rFonts w:ascii="URW Gothic" w:hAnsi="URW Gothic"/>
          <w:b w:val="0"/>
          <w:i w:val="0"/>
          <w:color w:val="2E2B2B"/>
          <w:sz w:val="20"/>
        </w:rPr>
        <w:t>Undvik hopp, snabba riktningsförändringar och rörelser där balansen känns osäker.</w:t>
      </w:r>
    </w:p>
    <w:p>
      <w:pPr>
        <w:pStyle w:val="ListBullet"/>
        <w:spacing w:before="0" w:after="60" w:line="252" w:lineRule="auto"/>
      </w:pPr>
      <w:r>
        <w:rPr>
          <w:rFonts w:ascii="URW Gothic" w:hAnsi="URW Gothic"/>
          <w:b w:val="0"/>
          <w:i w:val="0"/>
          <w:color w:val="2E2B2B"/>
          <w:sz w:val="20"/>
        </w:rPr>
        <w:t>Träna utan bärsele om operationsärret, bäckenbotten eller ryggen reagerar på belastningen.</w:t>
      </w:r>
    </w:p>
    <w:p>
      <w:pPr>
        <w:pStyle w:val="Heading2"/>
        <w:keepNext/>
      </w:pPr>
      <w:r>
        <w:rPr>
          <w:rFonts w:ascii="Bitstream Charter" w:hAnsi="Bitstream Charter"/>
          <w:b/>
          <w:i w:val="0"/>
          <w:color w:val="000000"/>
          <w:sz w:val="27"/>
        </w:rPr>
        <w:t>Övningar tillsammans med bebisen</w:t>
      </w:r>
    </w:p>
    <w:p>
      <w:pPr>
        <w:spacing w:before="0" w:after="120" w:line="269" w:lineRule="auto"/>
      </w:pPr>
      <w:r>
        <w:rPr>
          <w:rFonts w:ascii="URW Gothic" w:hAnsi="URW Gothic"/>
          <w:b/>
          <w:i w:val="0"/>
          <w:color w:val="2E2B2B"/>
          <w:sz w:val="20"/>
        </w:rPr>
        <w:t xml:space="preserve">Knäböj och tåhävning. </w:t>
      </w:r>
      <w:r>
        <w:rPr>
          <w:rFonts w:ascii="URW Gothic" w:hAnsi="URW Gothic"/>
          <w:b w:val="0"/>
          <w:i w:val="0"/>
          <w:color w:val="2E2B2B"/>
          <w:sz w:val="20"/>
        </w:rPr>
        <w:t>Bärsele kan användas när den sitter korrekt och den vuxne kan hålla en stabil position.</w:t>
      </w:r>
    </w:p>
    <w:p>
      <w:pPr>
        <w:spacing w:before="0" w:after="120" w:line="269" w:lineRule="auto"/>
      </w:pPr>
      <w:r>
        <w:rPr>
          <w:rFonts w:ascii="URW Gothic" w:hAnsi="URW Gothic"/>
          <w:b/>
          <w:i w:val="0"/>
          <w:color w:val="2E2B2B"/>
          <w:sz w:val="20"/>
        </w:rPr>
        <w:t xml:space="preserve">Glute bridge. </w:t>
      </w:r>
      <w:r>
        <w:rPr>
          <w:rFonts w:ascii="URW Gothic" w:hAnsi="URW Gothic"/>
          <w:b w:val="0"/>
          <w:i w:val="0"/>
          <w:color w:val="2E2B2B"/>
          <w:sz w:val="20"/>
        </w:rPr>
        <w:t>Bebisen kan senare vila stabilt över bäckenet medan den vuxne håller med båda händerna. Bebisen ska inte belasta magen eller ett operationsärr.</w:t>
      </w:r>
    </w:p>
    <w:p>
      <w:pPr>
        <w:spacing w:before="0" w:after="120" w:line="269" w:lineRule="auto"/>
      </w:pPr>
      <w:r>
        <w:rPr>
          <w:rFonts w:ascii="URW Gothic" w:hAnsi="URW Gothic"/>
          <w:b/>
          <w:i w:val="0"/>
          <w:color w:val="2E2B2B"/>
          <w:sz w:val="20"/>
        </w:rPr>
        <w:t xml:space="preserve">Bebislyft. </w:t>
      </w:r>
      <w:r>
        <w:rPr>
          <w:rFonts w:ascii="URW Gothic" w:hAnsi="URW Gothic"/>
          <w:b w:val="0"/>
          <w:i w:val="0"/>
          <w:color w:val="2E2B2B"/>
          <w:sz w:val="20"/>
        </w:rPr>
        <w:t>Ett lugnt lyft från bröst- till ansiktshöjd kan ersätta axelpress med bebis. Bebisen ska inte pressas över huvudet.</w:t>
      </w:r>
    </w:p>
    <w:p>
      <w:pPr>
        <w:spacing w:before="0" w:after="120" w:line="269" w:lineRule="auto"/>
      </w:pPr>
      <w:r>
        <w:rPr>
          <w:rFonts w:ascii="URW Gothic" w:hAnsi="URW Gothic"/>
          <w:b/>
          <w:i w:val="0"/>
          <w:color w:val="2E2B2B"/>
          <w:sz w:val="20"/>
        </w:rPr>
        <w:t xml:space="preserve">Golvövningar. </w:t>
      </w:r>
      <w:r>
        <w:rPr>
          <w:rFonts w:ascii="URW Gothic" w:hAnsi="URW Gothic"/>
          <w:b w:val="0"/>
          <w:i w:val="0"/>
          <w:color w:val="2E2B2B"/>
          <w:sz w:val="20"/>
        </w:rPr>
        <w:t>Bebisen kan ligga på en säker plats bredvid eller framför den vuxne och ska hela tiden vara under uppsikt.</w:t>
      </w:r>
    </w:p>
    <w:p>
      <w:r>
        <w:br w:type="page"/>
      </w:r>
    </w:p>
    <w:p>
      <w:pPr>
        <w:pStyle w:val="Heading1"/>
        <w:keepNext/>
      </w:pPr>
      <w:r>
        <w:rPr>
          <w:rFonts w:ascii="Bitstream Charter" w:hAnsi="Bitstream Charter"/>
          <w:b w:val="0"/>
          <w:i w:val="0"/>
          <w:color w:val="000000"/>
          <w:sz w:val="40"/>
        </w:rPr>
        <w:t>Anpassningar efter kejsarfödsel</w:t>
      </w:r>
    </w:p>
    <w:p>
      <w:pPr>
        <w:spacing w:before="0" w:after="180" w:line="271" w:lineRule="auto"/>
      </w:pPr>
      <w:r>
        <w:rPr>
          <w:rFonts w:ascii="URW Gothic" w:hAnsi="URW Gothic"/>
          <w:b w:val="0"/>
          <w:i w:val="0"/>
          <w:color w:val="2E2B2B"/>
          <w:sz w:val="20"/>
        </w:rPr>
        <w:t>Följ alltid de råd som gavs vid utskrivning och efterkontroll. Börja med små rörelser och lätt belastning. Rörelsen ska inte ge ökande drag, smärta, svullnad eller irritation kring ärret.</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3096"/>
            <w:vAlign w:val="center"/>
            <w:shd w:fill="6F7B64"/>
            <w:tcBorders>
              <w:top w:val="single" w:sz="5" w:color="D8DDD2"/>
              <w:left w:val="single" w:sz="5" w:color="D8DDD2"/>
              <w:bottom w:val="single" w:sz="5" w:color="D8DDD2"/>
              <w:right w:val="single" w:sz="5" w:color="D8DDD2"/>
              <w:insideH w:val="single" w:sz="5" w:color="D8DDD2"/>
              <w:insideV w:val="single" w:sz="5" w:color="D8DDD2"/>
            </w:tcBorders>
            <w:tcMar>
              <w:top w:w="105" w:type="dxa"/>
              <w:start w:w="100" w:type="dxa"/>
              <w:bottom w:w="105" w:type="dxa"/>
              <w:end w:w="100" w:type="dxa"/>
            </w:tcMar>
          </w:tcPr>
          <w:p>
            <w:pPr>
              <w:spacing w:before="0" w:after="0" w:line="240" w:lineRule="auto"/>
            </w:pPr>
            <w:r/>
            <w:r>
              <w:rPr>
                <w:rFonts w:ascii="URW Gothic" w:hAnsi="URW Gothic"/>
                <w:b/>
                <w:i w:val="0"/>
                <w:color w:val="FFFFFF"/>
                <w:sz w:val="17"/>
              </w:rPr>
              <w:t>Rörelsetyp</w:t>
            </w:r>
          </w:p>
        </w:tc>
        <w:tc>
          <w:tcPr>
            <w:tcW w:type="dxa" w:w="6552"/>
            <w:vAlign w:val="center"/>
            <w:shd w:fill="6F7B64"/>
            <w:tcBorders>
              <w:top w:val="single" w:sz="5" w:color="D8DDD2"/>
              <w:left w:val="single" w:sz="5" w:color="D8DDD2"/>
              <w:bottom w:val="single" w:sz="5" w:color="D8DDD2"/>
              <w:right w:val="single" w:sz="5" w:color="D8DDD2"/>
              <w:insideH w:val="single" w:sz="5" w:color="D8DDD2"/>
              <w:insideV w:val="single" w:sz="5" w:color="D8DDD2"/>
            </w:tcBorders>
            <w:tcMar>
              <w:top w:w="105" w:type="dxa"/>
              <w:start w:w="100" w:type="dxa"/>
              <w:bottom w:w="105" w:type="dxa"/>
              <w:end w:w="100" w:type="dxa"/>
            </w:tcMar>
          </w:tcPr>
          <w:p>
            <w:pPr>
              <w:spacing w:before="0" w:after="0" w:line="240" w:lineRule="auto"/>
            </w:pPr>
            <w:r/>
            <w:r>
              <w:rPr>
                <w:rFonts w:ascii="URW Gothic" w:hAnsi="URW Gothic"/>
                <w:b/>
                <w:i w:val="0"/>
                <w:color w:val="FFFFFF"/>
                <w:sz w:val="17"/>
              </w:rPr>
              <w:t>Princip för skonsammare anpassning</w:t>
            </w:r>
          </w:p>
        </w:tc>
      </w:tr>
      <w:tr>
        <w:tc>
          <w:tcPr>
            <w:tcW w:type="dxa" w:w="3096"/>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Benövningar</w:t>
            </w:r>
          </w:p>
        </w:tc>
        <w:tc>
          <w:tcPr>
            <w:tcW w:type="dxa" w:w="6552"/>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Välj högre utgångsläge, kortare rörelse och stöd för balansen.</w:t>
            </w:r>
          </w:p>
        </w:tc>
      </w:tr>
      <w:tr>
        <w:tc>
          <w:tcPr>
            <w:tcW w:type="dxa" w:w="3096"/>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Drag och press</w:t>
            </w:r>
          </w:p>
        </w:tc>
        <w:tc>
          <w:tcPr>
            <w:tcW w:type="dxa" w:w="6552"/>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Välj mycket lätt belastning, mer stöd och en position som inte drar i ärret.</w:t>
            </w:r>
          </w:p>
        </w:tc>
      </w:tr>
      <w:tr>
        <w:tc>
          <w:tcPr>
            <w:tcW w:type="dxa" w:w="3096"/>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Höftdominanta rörelser</w:t>
            </w:r>
          </w:p>
        </w:tc>
        <w:tc>
          <w:tcPr>
            <w:tcW w:type="dxa" w:w="6552"/>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Börja utan extra belastning och minska rörelseomfånget vid behov.</w:t>
            </w:r>
          </w:p>
        </w:tc>
      </w:tr>
      <w:tr>
        <w:tc>
          <w:tcPr>
            <w:tcW w:type="dxa" w:w="3096"/>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Bålträning</w:t>
            </w:r>
          </w:p>
        </w:tc>
        <w:tc>
          <w:tcPr>
            <w:tcW w:type="dxa" w:w="6552"/>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Prioritera lugn andning, statisk kontroll och små kontrollerade rörelser.</w:t>
            </w:r>
          </w:p>
        </w:tc>
      </w:tr>
      <w:tr>
        <w:tc>
          <w:tcPr>
            <w:tcW w:type="dxa" w:w="3096"/>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Balans och steg</w:t>
            </w:r>
          </w:p>
        </w:tc>
        <w:tc>
          <w:tcPr>
            <w:tcW w:type="dxa" w:w="6552"/>
            <w:vAlign w:val="center"/>
            <w:shd w:fill="F3DFE3"/>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Använd stöd och välj viktförflyttningar eller tåhävningar före högre steg.</w:t>
            </w:r>
          </w:p>
        </w:tc>
      </w:tr>
      <w:tr>
        <w:tc>
          <w:tcPr>
            <w:tcW w:type="dxa" w:w="3096"/>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Magliggande rörelser</w:t>
            </w:r>
          </w:p>
        </w:tc>
        <w:tc>
          <w:tcPr>
            <w:tcW w:type="dxa" w:w="6552"/>
            <w:vAlign w:val="center"/>
            <w:shd w:fill="E7EDE2"/>
            <w:tcBorders>
              <w:top w:val="single" w:sz="5" w:color="D8DDD2"/>
              <w:left w:val="single" w:sz="5" w:color="D8DDD2"/>
              <w:bottom w:val="single" w:sz="5" w:color="D8DDD2"/>
              <w:right w:val="single" w:sz="5" w:color="D8DDD2"/>
              <w:insideH w:val="single" w:sz="5" w:color="D8DDD2"/>
              <w:insideV w:val="single" w:sz="5" w:color="D8DDD2"/>
            </w:tcBorders>
            <w:tcMar>
              <w:top w:w="90" w:type="dxa"/>
              <w:start w:w="105" w:type="dxa"/>
              <w:bottom w:w="90" w:type="dxa"/>
              <w:end w:w="105" w:type="dxa"/>
            </w:tcMar>
          </w:tcPr>
          <w:p>
            <w:pPr>
              <w:spacing w:before="0" w:after="0" w:line="245" w:lineRule="auto"/>
            </w:pPr>
            <w:r/>
            <w:r>
              <w:rPr>
                <w:rFonts w:ascii="URW Gothic" w:hAnsi="URW Gothic"/>
                <w:b w:val="0"/>
                <w:i w:val="0"/>
                <w:color w:val="2E2B2B"/>
                <w:sz w:val="16"/>
              </w:rPr>
              <w:t>Vänta om magläge eller kontakt mot operationsområdet känns obekvämt.</w:t>
            </w:r>
          </w:p>
        </w:tc>
      </w:tr>
    </w:tbl>
    <w:p>
      <w:pPr>
        <w:spacing w:after="20"/>
      </w:pPr>
    </w:p>
    <w:p>
      <w:pPr>
        <w:spacing w:before="100" w:after="0" w:line="259" w:lineRule="auto"/>
      </w:pPr>
      <w:r>
        <w:rPr>
          <w:rFonts w:ascii="URW Gothic" w:hAnsi="URW Gothic"/>
          <w:b w:val="0"/>
          <w:i/>
          <w:color w:val="55614E"/>
          <w:sz w:val="20"/>
        </w:rPr>
        <w:t>De exakta övningsalternativen och instruktionerna visas i kursplattformen.</w:t>
      </w:r>
    </w:p>
    <w:p>
      <w:pPr>
        <w:pStyle w:val="Heading2"/>
        <w:keepNext/>
      </w:pPr>
      <w:r>
        <w:rPr>
          <w:rFonts w:ascii="Bitstream Charter" w:hAnsi="Bitstream Charter"/>
          <w:b/>
          <w:i w:val="0"/>
          <w:color w:val="000000"/>
          <w:sz w:val="27"/>
        </w:rPr>
        <w:t>Stegra med hänsyn till symtom</w:t>
      </w:r>
    </w:p>
    <w:p>
      <w:pPr>
        <w:spacing w:before="0" w:after="0" w:line="259" w:lineRule="auto"/>
      </w:pPr>
      <w:r>
        <w:rPr>
          <w:rFonts w:ascii="URW Gothic" w:hAnsi="URW Gothic"/>
          <w:b w:val="0"/>
          <w:i w:val="0"/>
          <w:color w:val="2E2B2B"/>
          <w:sz w:val="20"/>
        </w:rPr>
        <w:t>Ett läkt yttre ärr innebär inte automatiskt att bål och bäckenbotten är redo för all belastning. Öka gradvis och byt tillbaka till en lättare variant om kroppen reagerar under passet, senare samma dag eller nästa dag.</w:t>
      </w:r>
    </w:p>
    <w:p>
      <w:r>
        <w:br w:type="page"/>
      </w:r>
    </w:p>
    <w:p>
      <w:pPr>
        <w:pStyle w:val="Heading1"/>
        <w:keepNext/>
      </w:pPr>
      <w:r>
        <w:rPr>
          <w:rFonts w:ascii="Bitstream Charter" w:hAnsi="Bitstream Charter"/>
          <w:b w:val="0"/>
          <w:i w:val="0"/>
          <w:color w:val="000000"/>
          <w:sz w:val="40"/>
        </w:rPr>
        <w:t>Inspelade föreläsningar</w:t>
      </w:r>
    </w:p>
    <w:p>
      <w:pPr>
        <w:spacing w:before="0" w:after="320" w:line="271" w:lineRule="auto"/>
      </w:pPr>
      <w:r>
        <w:rPr>
          <w:rFonts w:ascii="URW Gothic" w:hAnsi="URW Gothic"/>
          <w:b w:val="0"/>
          <w:i w:val="0"/>
          <w:color w:val="2E2B2B"/>
          <w:sz w:val="20"/>
        </w:rPr>
        <w:t>Föreläsningarna finns på kursplattformen tillsammans med presentationsmaterialet. Kursboken innehåller därför endast föreläsningarnas namn.</w:t>
      </w:r>
    </w:p>
    <w:p>
      <w:pPr>
        <w:pStyle w:val="Heading2"/>
        <w:keepNext/>
      </w:pPr>
      <w:r>
        <w:rPr>
          <w:rFonts w:ascii="Bitstream Charter" w:hAnsi="Bitstream Charter"/>
          <w:b/>
          <w:i w:val="0"/>
          <w:color w:val="000000"/>
          <w:sz w:val="27"/>
        </w:rPr>
        <w:t>Föreläsning 1</w:t>
      </w:r>
    </w:p>
    <w:p>
      <w:pPr>
        <w:spacing w:before="0" w:after="360" w:line="259" w:lineRule="auto"/>
      </w:pPr>
      <w:r>
        <w:rPr>
          <w:rFonts w:ascii="URW Gothic" w:hAnsi="URW Gothic"/>
          <w:b w:val="0"/>
          <w:i w:val="0"/>
          <w:color w:val="2E2B2B"/>
          <w:sz w:val="20"/>
        </w:rPr>
        <w:t>Återhämtning och trygg återgång</w:t>
      </w:r>
    </w:p>
    <w:p>
      <w:pPr>
        <w:pStyle w:val="Heading2"/>
        <w:keepNext/>
      </w:pPr>
      <w:r>
        <w:rPr>
          <w:rFonts w:ascii="Bitstream Charter" w:hAnsi="Bitstream Charter"/>
          <w:b/>
          <w:i w:val="0"/>
          <w:color w:val="000000"/>
          <w:sz w:val="27"/>
        </w:rPr>
        <w:t>Föreläsning 2</w:t>
      </w:r>
    </w:p>
    <w:p>
      <w:pPr>
        <w:spacing w:before="0" w:after="360" w:line="259" w:lineRule="auto"/>
      </w:pPr>
      <w:r>
        <w:rPr>
          <w:rFonts w:ascii="URW Gothic" w:hAnsi="URW Gothic"/>
          <w:b w:val="0"/>
          <w:i w:val="0"/>
          <w:color w:val="2E2B2B"/>
          <w:sz w:val="20"/>
        </w:rPr>
        <w:t>Bäckenbotten bål och stabilitet</w:t>
      </w:r>
    </w:p>
    <w:p>
      <w:pPr>
        <w:pStyle w:val="Heading2"/>
        <w:keepNext/>
      </w:pPr>
      <w:r>
        <w:rPr>
          <w:rFonts w:ascii="Bitstream Charter" w:hAnsi="Bitstream Charter"/>
          <w:b/>
          <w:i w:val="0"/>
          <w:color w:val="000000"/>
          <w:sz w:val="27"/>
        </w:rPr>
        <w:t>Föreläsning 3</w:t>
      </w:r>
    </w:p>
    <w:p>
      <w:pPr>
        <w:spacing w:before="0" w:after="0" w:line="259" w:lineRule="auto"/>
      </w:pPr>
      <w:r>
        <w:rPr>
          <w:rFonts w:ascii="URW Gothic" w:hAnsi="URW Gothic"/>
          <w:b w:val="0"/>
          <w:i w:val="0"/>
          <w:color w:val="2E2B2B"/>
          <w:sz w:val="20"/>
        </w:rPr>
        <w:t>Energi sömn och återhämtning</w:t>
      </w:r>
    </w:p>
    <w:p>
      <w:r>
        <w:br w:type="page"/>
      </w:r>
    </w:p>
    <w:p>
      <w:pPr>
        <w:pStyle w:val="Heading1"/>
        <w:keepNext/>
      </w:pPr>
      <w:r>
        <w:rPr>
          <w:rFonts w:ascii="Bitstream Charter" w:hAnsi="Bitstream Charter"/>
          <w:b w:val="0"/>
          <w:i w:val="0"/>
          <w:color w:val="000000"/>
          <w:sz w:val="40"/>
        </w:rPr>
        <w:t>Källor och ansvar</w:t>
      </w:r>
    </w:p>
    <w:p>
      <w:pPr>
        <w:spacing w:before="0" w:after="180" w:line="269" w:lineRule="auto"/>
      </w:pPr>
      <w:r>
        <w:rPr>
          <w:rFonts w:ascii="URW Gothic" w:hAnsi="URW Gothic"/>
          <w:b w:val="0"/>
          <w:i w:val="0"/>
          <w:color w:val="2E2B2B"/>
          <w:sz w:val="20"/>
        </w:rPr>
        <w:t>Kursboken ger generell information och träningsvägledning efter förlossning. Den ersätter inte individuell medicinsk bedömning, diagnostik eller rehabilitering. Följ alltid råd från barnmorska, läkare eller fysioterapeut.</w:t>
      </w:r>
    </w:p>
    <w:p>
      <w:pPr>
        <w:pStyle w:val="Heading2"/>
        <w:keepNext/>
      </w:pPr>
      <w:r>
        <w:rPr>
          <w:rFonts w:ascii="Bitstream Charter" w:hAnsi="Bitstream Charter"/>
          <w:b/>
          <w:i w:val="0"/>
          <w:color w:val="000000"/>
          <w:sz w:val="27"/>
        </w:rPr>
        <w:t>Källor</w:t>
      </w:r>
    </w:p>
    <w:p>
      <w:pPr>
        <w:spacing w:before="0" w:after="100" w:line="247" w:lineRule="auto"/>
      </w:pPr>
      <w:r>
        <w:rPr>
          <w:rFonts w:ascii="URW Gothic" w:hAnsi="URW Gothic"/>
          <w:b/>
          <w:i w:val="0"/>
          <w:color w:val="2E2B2B"/>
          <w:sz w:val="18"/>
        </w:rPr>
        <w:t>1. 1177 Bäckenbottenträning</w:t>
        <w:br/>
      </w:r>
      <w:r>
        <w:rPr>
          <w:rFonts w:ascii="URW Gothic" w:hAnsi="URW Gothic"/>
          <w:b w:val="0"/>
          <w:i w:val="0"/>
          <w:color w:val="6D6967"/>
          <w:sz w:val="16"/>
        </w:rPr>
        <w:t>https://www.1177.se/undersokning-behandling/smartbehandlingar-och-rehabilitering/backenbottentraning/</w:t>
      </w:r>
    </w:p>
    <w:p>
      <w:pPr>
        <w:spacing w:before="0" w:after="100" w:line="247" w:lineRule="auto"/>
      </w:pPr>
      <w:r>
        <w:rPr>
          <w:rFonts w:ascii="URW Gothic" w:hAnsi="URW Gothic"/>
          <w:b/>
          <w:i w:val="0"/>
          <w:color w:val="2E2B2B"/>
          <w:sz w:val="18"/>
        </w:rPr>
        <w:t>2. 1177 Bäckenbottenträning under graviditeten Region Kronoberg</w:t>
        <w:br/>
      </w:r>
      <w:r>
        <w:rPr>
          <w:rFonts w:ascii="URW Gothic" w:hAnsi="URW Gothic"/>
          <w:b w:val="0"/>
          <w:i w:val="0"/>
          <w:color w:val="6D6967"/>
          <w:sz w:val="16"/>
        </w:rPr>
        <w:t>https://www.1177.se/Kronoberg/barn--gravid/graviditet/backenbottentraning-under-graviditeten/</w:t>
      </w:r>
    </w:p>
    <w:p>
      <w:pPr>
        <w:spacing w:before="0" w:after="100" w:line="247" w:lineRule="auto"/>
      </w:pPr>
      <w:r>
        <w:rPr>
          <w:rFonts w:ascii="URW Gothic" w:hAnsi="URW Gothic"/>
          <w:b/>
          <w:i w:val="0"/>
          <w:color w:val="2E2B2B"/>
          <w:sz w:val="18"/>
        </w:rPr>
        <w:t>3. NICE Urinary incontinence and pelvic organ prolapse in women NG123</w:t>
        <w:br/>
      </w:r>
      <w:r>
        <w:rPr>
          <w:rFonts w:ascii="URW Gothic" w:hAnsi="URW Gothic"/>
          <w:b w:val="0"/>
          <w:i w:val="0"/>
          <w:color w:val="6D6967"/>
          <w:sz w:val="16"/>
        </w:rPr>
        <w:t>https://www.nice.org.uk/guidance/ng123</w:t>
      </w:r>
    </w:p>
    <w:p>
      <w:pPr>
        <w:spacing w:before="0" w:after="100" w:line="247" w:lineRule="auto"/>
      </w:pPr>
      <w:r>
        <w:rPr>
          <w:rFonts w:ascii="URW Gothic" w:hAnsi="URW Gothic"/>
          <w:b/>
          <w:i w:val="0"/>
          <w:color w:val="2E2B2B"/>
          <w:sz w:val="18"/>
        </w:rPr>
        <w:t>4. Socialstyrelsen Planera för kejsarsnitt</w:t>
        <w:br/>
      </w:r>
      <w:r>
        <w:rPr>
          <w:rFonts w:ascii="URW Gothic" w:hAnsi="URW Gothic"/>
          <w:b w:val="0"/>
          <w:i w:val="0"/>
          <w:color w:val="6D6967"/>
          <w:sz w:val="16"/>
        </w:rPr>
        <w:t>https://www.socialstyrelsen.se/kunskapsstod-och-regler/regler-och-riktlinjer/nationella-riktlinjer/nationella-riktlinjer-graviditet-forlossning-och-tiden-efter/rekommendationer/oversikt-graviditet/planera-for-kejsarsnitt/</w:t>
      </w:r>
    </w:p>
    <w:p>
      <w:pPr>
        <w:spacing w:before="0" w:after="100" w:line="247" w:lineRule="auto"/>
      </w:pPr>
      <w:r>
        <w:rPr>
          <w:rFonts w:ascii="URW Gothic" w:hAnsi="URW Gothic"/>
          <w:b/>
          <w:i w:val="0"/>
          <w:color w:val="2E2B2B"/>
          <w:sz w:val="18"/>
        </w:rPr>
        <w:t>5. Socialstyrelsen Kejsarsnitt ett kunskapsstöd inför beslut</w:t>
        <w:br/>
      </w:r>
      <w:r>
        <w:rPr>
          <w:rFonts w:ascii="URW Gothic" w:hAnsi="URW Gothic"/>
          <w:b w:val="0"/>
          <w:i w:val="0"/>
          <w:color w:val="6D6967"/>
          <w:sz w:val="16"/>
        </w:rPr>
        <w:t>https://www.socialstyrelsen.se/publikationer/kejsarsnitt--ett-kunskapsstod-infor-beslut-om-planerat-kejsarsnitt-vid-oklara-indikationer-2022-12-8278/</w:t>
      </w:r>
    </w:p>
    <w:p>
      <w:pPr>
        <w:spacing w:before="0" w:after="100" w:line="247" w:lineRule="auto"/>
      </w:pPr>
      <w:r>
        <w:rPr>
          <w:rFonts w:ascii="URW Gothic" w:hAnsi="URW Gothic"/>
          <w:b/>
          <w:i w:val="0"/>
          <w:color w:val="2E2B2B"/>
          <w:sz w:val="18"/>
        </w:rPr>
        <w:t>6. Karolinska Universitetssjukhuset Planerat kejsarsnitt</w:t>
        <w:br/>
      </w:r>
      <w:r>
        <w:rPr>
          <w:rFonts w:ascii="URW Gothic" w:hAnsi="URW Gothic"/>
          <w:b w:val="0"/>
          <w:i w:val="0"/>
          <w:color w:val="6D6967"/>
          <w:sz w:val="16"/>
        </w:rPr>
        <w:t>https://www.karolinska.se/vard/tema/tema-kvinnohalsa-och-halsoprofessioner/graviditet-och-forlossning/dags-att-foda/kejsarsnitt-planerat/</w:t>
      </w:r>
    </w:p>
    <w:p>
      <w:pPr>
        <w:spacing w:before="0" w:after="100" w:line="247" w:lineRule="auto"/>
      </w:pPr>
      <w:r>
        <w:rPr>
          <w:rFonts w:ascii="URW Gothic" w:hAnsi="URW Gothic"/>
          <w:b/>
          <w:i w:val="0"/>
          <w:color w:val="2E2B2B"/>
          <w:sz w:val="18"/>
        </w:rPr>
        <w:t>7. NHS Keeping fit and healthy with a baby</w:t>
        <w:br/>
      </w:r>
      <w:r>
        <w:rPr>
          <w:rFonts w:ascii="URW Gothic" w:hAnsi="URW Gothic"/>
          <w:b w:val="0"/>
          <w:i w:val="0"/>
          <w:color w:val="6D6967"/>
          <w:sz w:val="16"/>
        </w:rPr>
        <w:t>https://www.nhs.uk/baby/support-and-services/keeping-fit-and-healthy-with-a-baby/</w:t>
      </w:r>
    </w:p>
    <w:p>
      <w:pPr>
        <w:spacing w:before="0" w:after="100" w:line="247" w:lineRule="auto"/>
      </w:pPr>
      <w:r>
        <w:rPr>
          <w:rFonts w:ascii="URW Gothic" w:hAnsi="URW Gothic"/>
          <w:b/>
          <w:i w:val="0"/>
          <w:color w:val="2E2B2B"/>
          <w:sz w:val="18"/>
        </w:rPr>
        <w:t>8. WHO Guidelines on physical activity and sedentary behaviour</w:t>
        <w:br/>
      </w:r>
      <w:r>
        <w:rPr>
          <w:rFonts w:ascii="URW Gothic" w:hAnsi="URW Gothic"/>
          <w:b w:val="0"/>
          <w:i w:val="0"/>
          <w:color w:val="6D6967"/>
          <w:sz w:val="16"/>
        </w:rPr>
        <w:t>https://www.who.int/publications/i/item/9789240015128</w:t>
      </w:r>
    </w:p>
    <w:p>
      <w:pPr>
        <w:pStyle w:val="Heading2"/>
        <w:keepNext/>
      </w:pPr>
      <w:r>
        <w:rPr>
          <w:rFonts w:ascii="Bitstream Charter" w:hAnsi="Bitstream Charter"/>
          <w:b/>
          <w:i w:val="0"/>
          <w:color w:val="000000"/>
          <w:sz w:val="27"/>
        </w:rPr>
        <w:t>Kontakt</w:t>
      </w:r>
    </w:p>
    <w:p>
      <w:pPr>
        <w:spacing w:before="0" w:after="60" w:line="259" w:lineRule="auto"/>
      </w:pPr>
      <w:r>
        <w:rPr>
          <w:rFonts w:ascii="URW Gothic" w:hAnsi="URW Gothic"/>
          <w:b/>
          <w:i w:val="0"/>
          <w:color w:val="2E2B2B"/>
          <w:sz w:val="20"/>
        </w:rPr>
        <w:t>Sandra Rosell</w:t>
      </w:r>
      <w:r>
        <w:rPr>
          <w:rFonts w:ascii="URW Gothic" w:hAnsi="URW Gothic"/>
          <w:b w:val="0"/>
          <w:i w:val="0"/>
          <w:color w:val="2E2B2B"/>
          <w:sz w:val="20"/>
        </w:rPr>
        <w:br/>
        <w:t>Licensierad personlig tränare och kostcoach, socionom och Steg 1-utbildad familjeterapeut</w:t>
      </w:r>
      <w:r>
        <w:rPr>
          <w:rFonts w:ascii="URW Gothic" w:hAnsi="URW Gothic"/>
          <w:b w:val="0"/>
          <w:i w:val="0"/>
          <w:color w:val="2E2B2B"/>
          <w:sz w:val="20"/>
        </w:rPr>
        <w:br/>
        <w:t>Ölmstads Hälsostudio</w:t>
      </w:r>
      <w:r>
        <w:rPr>
          <w:rFonts w:ascii="URW Gothic" w:hAnsi="URW Gothic"/>
          <w:b w:val="0"/>
          <w:i w:val="0"/>
          <w:color w:val="6F7B64"/>
          <w:sz w:val="20"/>
        </w:rPr>
        <w:br/>
        <w:t>olmstadshalsostudio.se</w:t>
      </w:r>
    </w:p>
    <w:p>
      <w:pPr>
        <w:spacing w:before="200" w:after="0" w:line="259" w:lineRule="auto"/>
        <w:jc w:val="center"/>
      </w:pPr>
      <w:r>
        <w:drawing>
          <wp:inline xmlns:a="http://schemas.openxmlformats.org/drawingml/2006/main" xmlns:pic="http://schemas.openxmlformats.org/drawingml/2006/picture">
            <wp:extent cx="868680" cy="868680"/>
            <wp:docPr id="2" name="Picture 2"/>
            <wp:cNvGraphicFramePr>
              <a:graphicFrameLocks noChangeAspect="1"/>
            </wp:cNvGraphicFramePr>
            <a:graphic>
              <a:graphicData uri="http://schemas.openxmlformats.org/drawingml/2006/picture">
                <pic:pic>
                  <pic:nvPicPr>
                    <pic:cNvPr id="0" name="logo.jpeg"/>
                    <pic:cNvPicPr/>
                  </pic:nvPicPr>
                  <pic:blipFill>
                    <a:blip r:embed="rId9"/>
                    <a:stretch>
                      <a:fillRect/>
                    </a:stretch>
                  </pic:blipFill>
                  <pic:spPr>
                    <a:xfrm>
                      <a:off x="0" y="0"/>
                      <a:ext cx="868680" cy="868680"/>
                    </a:xfrm>
                    <a:prstGeom prst="rect"/>
                  </pic:spPr>
                </pic:pic>
              </a:graphicData>
            </a:graphic>
          </wp:inline>
        </w:drawing>
      </w:r>
    </w:p>
    <w:sectPr w:rsidR="00FC693F" w:rsidRPr="0006063C" w:rsidSect="00034616">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59" w:lineRule="auto"/>
      <w:jc w:val="center"/>
    </w:pPr>
    <w:r>
      <w:rPr>
        <w:rFonts w:ascii="URW Gothic" w:hAnsi="URW Gothic"/>
        <w:b w:val="0"/>
        <w:i/>
        <w:color w:val="6F7B64"/>
        <w:sz w:val="16"/>
      </w:rPr>
      <w:t>Ölmstads Hälsostudio  |  Kursbok träning efter förlossning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URW Gothic" w:hAnsi="URW Gothic"/>
      <w:color w:val="2E2B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00"/>
      <w:outlineLvl w:val="0"/>
    </w:pPr>
    <w:rPr>
      <w:rFonts w:asciiTheme="majorHAnsi" w:eastAsiaTheme="majorEastAsia" w:hAnsiTheme="majorHAnsi" w:cstheme="majorBidi" w:ascii="Bitstream Charter" w:hAnsi="Bitstream Charter"/>
      <w:b w:val="0"/>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Bitstream Charter" w:hAnsi="Bitstream Charter"/>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100" w:after="100"/>
      <w:outlineLvl w:val="2"/>
    </w:pPr>
    <w:rPr>
      <w:rFonts w:asciiTheme="majorHAnsi" w:eastAsiaTheme="majorEastAsia" w:hAnsiTheme="majorHAnsi" w:cstheme="majorBidi" w:ascii="URW Gothic" w:hAnsi="URW Gothic"/>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Bitstream Charter" w:hAnsi="Bitstream Charter"/>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RW Gothic" w:hAnsi="URW Gothic"/>
      <w:color w:val="2E2B2B"/>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URW Gothic" w:hAnsi="URW Gothic"/>
      <w:color w:val="2E2B2B"/>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Kursbok träning efter förlossning</dc:title>
  <dc:subject>Sex veckors kursram med progression, säkerhetsråd och föreläsningsnamn</dc:subject>
  <dc:creator>Sandra Rosell, Ölmstads Hälsostudio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